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8.13.4.5</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held warm discussion around RRM aspects in ATG case. The following agreements were achieved in [1]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heme="minorEastAsia"/>
                <w:b/>
                <w:sz w:val="20"/>
                <w:szCs w:val="20"/>
                <w:u w:val="single"/>
              </w:rPr>
            </w:pPr>
            <w:r>
              <w:rPr>
                <w:b/>
                <w:sz w:val="20"/>
                <w:szCs w:val="20"/>
                <w:u w:val="single"/>
                <w:lang w:eastAsia="ko-KR"/>
              </w:rPr>
              <w:t>Issue 4-1: Measurement mechanism</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spacing w:after="120"/>
              <w:ind w:firstLineChars="0"/>
              <w:rPr>
                <w:rFonts w:eastAsia="宋体" w:cs="Times New Roman"/>
                <w:sz w:val="20"/>
                <w:szCs w:val="20"/>
              </w:rPr>
            </w:pPr>
            <w:r>
              <w:rPr>
                <w:rFonts w:hint="eastAsia" w:eastAsia="宋体" w:cs="Times New Roman"/>
                <w:sz w:val="20"/>
                <w:szCs w:val="20"/>
              </w:rPr>
              <w:t>Altitude-based solution</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 xml:space="preserve">Common understanding is that ATG UE is turned off lower 3km altitude. </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The ATG RRM requirements apply for ATG UE operating higher than 3km altitude.</w:t>
            </w:r>
          </w:p>
          <w:p>
            <w:pPr>
              <w:rPr>
                <w:rFonts w:eastAsiaTheme="minorEastAsia"/>
                <w:b/>
                <w:sz w:val="20"/>
                <w:szCs w:val="20"/>
                <w:u w:val="single"/>
              </w:rPr>
            </w:pPr>
            <w:r>
              <w:rPr>
                <w:b/>
                <w:sz w:val="20"/>
                <w:szCs w:val="20"/>
                <w:u w:val="single"/>
                <w:lang w:eastAsia="ko-KR"/>
              </w:rPr>
              <w:t>Issue 4-2: Directional antenna impaction</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ind w:firstLineChars="0"/>
              <w:rPr>
                <w:rFonts w:eastAsia="宋体" w:cs="Times New Roman"/>
                <w:sz w:val="20"/>
                <w:szCs w:val="20"/>
              </w:rPr>
            </w:pPr>
            <w:r>
              <w:rPr>
                <w:rFonts w:hint="eastAsia" w:eastAsiaTheme="minorEastAsia"/>
                <w:iCs/>
                <w:sz w:val="20"/>
                <w:szCs w:val="20"/>
              </w:rPr>
              <w:t>Further discuss the scaling factor in next meeting</w:t>
            </w:r>
          </w:p>
          <w:p>
            <w:pPr>
              <w:numPr>
                <w:ilvl w:val="1"/>
                <w:numId w:val="4"/>
              </w:numPr>
              <w:spacing w:after="120"/>
              <w:rPr>
                <w:rFonts w:eastAsia="宋体"/>
                <w:sz w:val="20"/>
                <w:lang w:val="en-GB"/>
              </w:rPr>
            </w:pPr>
            <w:r>
              <w:rPr>
                <w:rFonts w:hint="eastAsia" w:eastAsia="宋体"/>
                <w:sz w:val="20"/>
                <w:lang w:val="en-GB"/>
              </w:rPr>
              <w:t>O</w:t>
            </w:r>
            <w:r>
              <w:rPr>
                <w:rFonts w:eastAsia="宋体"/>
                <w:sz w:val="20"/>
                <w:lang w:val="en-GB"/>
              </w:rPr>
              <w:t>p</w:t>
            </w:r>
            <w:r>
              <w:rPr>
                <w:rFonts w:hint="eastAsia" w:eastAsia="宋体"/>
                <w:sz w:val="20"/>
                <w:lang w:val="en-GB"/>
              </w:rPr>
              <w:t>tion 1: Do not introduce scaling factor N</w:t>
            </w:r>
          </w:p>
          <w:p>
            <w:pPr>
              <w:numPr>
                <w:ilvl w:val="2"/>
                <w:numId w:val="4"/>
              </w:numPr>
              <w:spacing w:after="120"/>
              <w:rPr>
                <w:rFonts w:eastAsia="宋体"/>
                <w:sz w:val="20"/>
                <w:lang w:val="en-GB"/>
              </w:rPr>
            </w:pPr>
            <w:r>
              <w:rPr>
                <w:rFonts w:hint="eastAsia" w:eastAsia="等线"/>
                <w:sz w:val="20"/>
                <w:szCs w:val="20"/>
                <w:lang w:val="en-GB"/>
              </w:rPr>
              <w:t>E</w:t>
            </w:r>
            <w:r>
              <w:rPr>
                <w:rFonts w:eastAsia="MS Mincho"/>
                <w:sz w:val="20"/>
                <w:szCs w:val="20"/>
                <w:lang w:eastAsia="ko-KR"/>
              </w:rPr>
              <w:t>xisting measurement requirements can be reused, provided that beam steering based on the positioning is capable for the ATG UE.</w:t>
            </w:r>
          </w:p>
          <w:p>
            <w:pPr>
              <w:numPr>
                <w:ilvl w:val="2"/>
                <w:numId w:val="4"/>
              </w:numPr>
              <w:spacing w:after="120"/>
              <w:rPr>
                <w:rFonts w:eastAsia="宋体"/>
                <w:sz w:val="20"/>
                <w:lang w:val="en-GB"/>
              </w:rPr>
            </w:pPr>
            <w:r>
              <w:rPr>
                <w:rFonts w:hint="eastAsia" w:eastAsia="宋体"/>
                <w:sz w:val="20"/>
                <w:lang w:val="en-GB"/>
              </w:rPr>
              <w:t xml:space="preserve">Introduce scheduling restriction </w:t>
            </w:r>
            <w:r>
              <w:rPr>
                <w:rFonts w:eastAsia="等线"/>
                <w:bCs/>
                <w:sz w:val="20"/>
                <w:szCs w:val="20"/>
                <w:lang w:val="en-GB"/>
              </w:rPr>
              <w:t>due to different Rx beam applies in FR1</w:t>
            </w:r>
          </w:p>
          <w:p>
            <w:pPr>
              <w:numPr>
                <w:ilvl w:val="1"/>
                <w:numId w:val="4"/>
              </w:numPr>
              <w:spacing w:after="120"/>
            </w:pPr>
            <w:r>
              <w:rPr>
                <w:rFonts w:hint="eastAsia" w:eastAsia="等线"/>
                <w:bCs/>
                <w:sz w:val="20"/>
                <w:szCs w:val="20"/>
                <w:lang w:val="en-GB"/>
              </w:rPr>
              <w:t xml:space="preserve">Option 2: </w:t>
            </w:r>
            <w:r>
              <w:rPr>
                <w:rFonts w:eastAsia="等线"/>
                <w:bCs/>
                <w:sz w:val="20"/>
                <w:szCs w:val="20"/>
                <w:lang w:val="en-GB"/>
              </w:rPr>
              <w:t>For UEs with directional antennas operating in 4 GHz, use a scaling N for ATG UEs measurement requirements</w:t>
            </w:r>
            <w:r>
              <w:rPr>
                <w:rFonts w:hint="eastAsia" w:eastAsia="等线"/>
                <w:bCs/>
                <w:sz w:val="20"/>
                <w:szCs w:val="20"/>
                <w:lang w:val="en-GB"/>
              </w:rPr>
              <w:t xml:space="preserve">. FFS on the value of </w:t>
            </w:r>
            <w:r>
              <w:rPr>
                <w:rFonts w:eastAsia="等线"/>
                <w:bCs/>
                <w:sz w:val="20"/>
                <w:szCs w:val="20"/>
                <w:lang w:val="en-GB"/>
              </w:rPr>
              <w:t>‘</w:t>
            </w:r>
            <w:r>
              <w:rPr>
                <w:rFonts w:hint="eastAsia" w:eastAsia="等线"/>
                <w:bCs/>
                <w:sz w:val="20"/>
                <w:szCs w:val="20"/>
                <w:lang w:val="en-GB"/>
              </w:rPr>
              <w:t>N</w:t>
            </w:r>
            <w:r>
              <w:rPr>
                <w:rFonts w:eastAsia="等线"/>
                <w:bCs/>
                <w:sz w:val="20"/>
                <w:szCs w:val="20"/>
                <w:lang w:val="en-GB"/>
              </w:rPr>
              <w:t>’</w:t>
            </w:r>
            <w:r>
              <w:rPr>
                <w:rFonts w:hint="eastAsia" w:eastAsia="等线"/>
                <w:bCs/>
                <w:sz w:val="20"/>
                <w:szCs w:val="20"/>
                <w:lang w:val="en-GB"/>
              </w:rPr>
              <w:t>.</w:t>
            </w:r>
          </w:p>
          <w:p>
            <w:pPr>
              <w:rPr>
                <w:rFonts w:eastAsia="Malgun Gothic"/>
                <w:b/>
                <w:sz w:val="20"/>
                <w:szCs w:val="20"/>
                <w:u w:val="single"/>
                <w:lang w:eastAsia="ko-KR"/>
              </w:rPr>
            </w:pPr>
            <w:r>
              <w:rPr>
                <w:rFonts w:eastAsia="Malgun Gothic"/>
                <w:b/>
                <w:sz w:val="20"/>
                <w:szCs w:val="20"/>
                <w:u w:val="single"/>
                <w:lang w:eastAsia="ko-KR"/>
              </w:rPr>
              <w:t>Issue 4-3: Scheduling restriction-for intra-frequency</w:t>
            </w:r>
          </w:p>
          <w:p>
            <w:pPr>
              <w:rPr>
                <w:rFonts w:eastAsiaTheme="minorEastAsia"/>
                <w:b/>
                <w:sz w:val="20"/>
                <w:szCs w:val="20"/>
              </w:rPr>
            </w:pPr>
            <w:r>
              <w:rPr>
                <w:rFonts w:hint="eastAsia" w:eastAsiaTheme="minorEastAsia"/>
                <w:b w:val="0"/>
                <w:bCs/>
                <w:sz w:val="20"/>
                <w:szCs w:val="20"/>
                <w:highlight w:val="green"/>
              </w:rPr>
              <w:t>A</w:t>
            </w:r>
            <w:r>
              <w:rPr>
                <w:rFonts w:eastAsiaTheme="minorEastAsia"/>
                <w:b w:val="0"/>
                <w:bCs/>
                <w:sz w:val="20"/>
                <w:szCs w:val="20"/>
                <w:highlight w:val="green"/>
              </w:rPr>
              <w:t>greement</w:t>
            </w:r>
            <w:r>
              <w:rPr>
                <w:rFonts w:eastAsiaTheme="minorEastAsia"/>
                <w:b/>
                <w:sz w:val="20"/>
                <w:szCs w:val="20"/>
              </w:rPr>
              <w:t>:</w:t>
            </w:r>
          </w:p>
          <w:p>
            <w:pPr>
              <w:pStyle w:val="28"/>
              <w:numPr>
                <w:ilvl w:val="0"/>
                <w:numId w:val="4"/>
              </w:numPr>
              <w:spacing w:after="120"/>
              <w:ind w:hanging="357" w:firstLineChars="0"/>
              <w:rPr>
                <w:rFonts w:eastAsia="宋体"/>
                <w:sz w:val="20"/>
                <w:szCs w:val="20"/>
              </w:rPr>
            </w:pPr>
            <w:r>
              <w:rPr>
                <w:rFonts w:eastAsia="宋体"/>
                <w:sz w:val="20"/>
                <w:szCs w:val="20"/>
              </w:rPr>
              <w:t xml:space="preserve">The legacy scheduling restriction requirement can be reused for ATG. </w:t>
            </w:r>
          </w:p>
          <w:p>
            <w:pPr>
              <w:pStyle w:val="28"/>
              <w:numPr>
                <w:ilvl w:val="1"/>
                <w:numId w:val="4"/>
              </w:numPr>
              <w:spacing w:after="120"/>
              <w:ind w:firstLineChars="0"/>
              <w:rPr>
                <w:rFonts w:eastAsia="宋体"/>
                <w:sz w:val="20"/>
                <w:szCs w:val="20"/>
              </w:rPr>
            </w:pPr>
            <w:r>
              <w:rPr>
                <w:rFonts w:eastAsia="宋体"/>
                <w:sz w:val="20"/>
                <w:szCs w:val="20"/>
              </w:rPr>
              <w:t>When it is enabled, the restriction is on SSB symbols and 1 data symbol before and after.</w:t>
            </w:r>
          </w:p>
          <w:p>
            <w:pPr>
              <w:pStyle w:val="28"/>
              <w:numPr>
                <w:ilvl w:val="1"/>
                <w:numId w:val="4"/>
              </w:numPr>
              <w:spacing w:after="120"/>
              <w:ind w:firstLineChars="0"/>
              <w:rPr>
                <w:rFonts w:eastAsia="宋体"/>
                <w:sz w:val="20"/>
                <w:szCs w:val="20"/>
              </w:rPr>
            </w:pPr>
            <w:r>
              <w:rPr>
                <w:rFonts w:eastAsia="宋体"/>
                <w:sz w:val="20"/>
                <w:szCs w:val="20"/>
              </w:rPr>
              <w:t>When it is disabled, the restriction is on all symbols in SMTC.</w:t>
            </w:r>
          </w:p>
          <w:p>
            <w:pPr>
              <w:rPr>
                <w:rFonts w:eastAsia="Malgun Gothic"/>
                <w:b/>
                <w:sz w:val="20"/>
                <w:szCs w:val="20"/>
                <w:u w:val="single"/>
                <w:lang w:eastAsia="ko-KR"/>
              </w:rPr>
            </w:pPr>
            <w:r>
              <w:rPr>
                <w:rFonts w:eastAsia="Malgun Gothic"/>
                <w:b/>
                <w:sz w:val="20"/>
                <w:szCs w:val="20"/>
                <w:u w:val="single"/>
                <w:lang w:eastAsia="ko-KR"/>
              </w:rPr>
              <w:t>Issue 4-4: Scheduling restriction-for inter-frequency</w:t>
            </w:r>
          </w:p>
          <w:p>
            <w:pPr>
              <w:rPr>
                <w:rFonts w:eastAsiaTheme="minorEastAsia"/>
                <w:b/>
                <w:sz w:val="20"/>
                <w:szCs w:val="20"/>
              </w:rPr>
            </w:pPr>
            <w:r>
              <w:rPr>
                <w:rFonts w:hint="eastAsia" w:eastAsiaTheme="minorEastAsia"/>
                <w:b w:val="0"/>
                <w:bCs/>
                <w:sz w:val="20"/>
                <w:szCs w:val="20"/>
                <w:highlight w:val="green"/>
              </w:rPr>
              <w:t>A</w:t>
            </w:r>
            <w:r>
              <w:rPr>
                <w:rFonts w:eastAsiaTheme="minorEastAsia"/>
                <w:b w:val="0"/>
                <w:bCs/>
                <w:sz w:val="20"/>
                <w:szCs w:val="20"/>
                <w:highlight w:val="green"/>
              </w:rPr>
              <w:t>greement</w:t>
            </w:r>
            <w:r>
              <w:rPr>
                <w:rFonts w:eastAsiaTheme="minorEastAsia"/>
                <w:b/>
                <w:sz w:val="20"/>
                <w:szCs w:val="20"/>
              </w:rPr>
              <w:t>:</w:t>
            </w:r>
          </w:p>
          <w:p>
            <w:pPr>
              <w:pStyle w:val="28"/>
              <w:keepNext w:val="0"/>
              <w:keepLines w:val="0"/>
              <w:pageBreakBefore w:val="0"/>
              <w:numPr>
                <w:ilvl w:val="0"/>
                <w:numId w:val="0"/>
              </w:numPr>
              <w:kinsoku/>
              <w:wordWrap/>
              <w:overflowPunct/>
              <w:topLinePunct w:val="0"/>
              <w:autoSpaceDE/>
              <w:autoSpaceDN/>
              <w:bidi w:val="0"/>
              <w:adjustRightInd/>
              <w:snapToGrid/>
              <w:ind w:left="156" w:leftChars="0"/>
              <w:textAlignment w:val="auto"/>
              <w:rPr>
                <w:rFonts w:hint="eastAsia" w:eastAsia="宋体"/>
                <w:color w:val="auto"/>
                <w:sz w:val="20"/>
                <w:szCs w:val="20"/>
                <w:vertAlign w:val="baseline"/>
                <w:lang w:val="en-US" w:eastAsia="zh-CN"/>
              </w:rPr>
            </w:pPr>
            <w:r>
              <w:rPr>
                <w:rFonts w:eastAsia="宋体"/>
                <w:sz w:val="20"/>
                <w:szCs w:val="20"/>
              </w:rPr>
              <w:t>For ATG inter-frequency measurement without gap, the legacy scheduling restriction can be reused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the progress all achieved in previous meetings, around the measurement for ATG UE, only the issue of directional antenna impact is still uncertain. So in this document, we provide our views focused on this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CPE UE operation on 4G Hz, even it belongs to FR1, for the sake of the coverage, directional antenna is assumed in co-existence study. Such antenna assumption is different from legacy for FR1, so the concerns on the measurement performance due to the potential unmatched beam direction raised during recent meetings. Accordingly, some solutions were proposed in last meeting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overflowPunct/>
              <w:autoSpaceDE/>
              <w:autoSpaceDN/>
              <w:adjustRightInd/>
              <w:spacing w:after="120"/>
              <w:ind w:left="1020" w:leftChars="0" w:firstLineChars="0"/>
              <w:textAlignment w:val="auto"/>
              <w:rPr>
                <w:rFonts w:eastAsia="宋体"/>
              </w:rPr>
            </w:pPr>
            <w:r>
              <w:rPr>
                <w:rFonts w:hint="eastAsia" w:eastAsia="宋体"/>
                <w:lang w:eastAsia="zh-CN"/>
              </w:rPr>
              <w:t>O</w:t>
            </w:r>
            <w:r>
              <w:rPr>
                <w:rFonts w:eastAsia="宋体"/>
                <w:lang w:eastAsia="zh-CN"/>
              </w:rPr>
              <w:t xml:space="preserve">ption 1: </w:t>
            </w:r>
            <w:r>
              <w:rPr>
                <w:lang w:val="en-US" w:eastAsia="ko-KR"/>
              </w:rPr>
              <w:t>existing measurement requirements can be reused</w:t>
            </w:r>
          </w:p>
          <w:p>
            <w:pPr>
              <w:pStyle w:val="28"/>
              <w:numPr>
                <w:ilvl w:val="1"/>
                <w:numId w:val="4"/>
              </w:numPr>
              <w:overflowPunct/>
              <w:autoSpaceDE/>
              <w:autoSpaceDN/>
              <w:adjustRightInd/>
              <w:spacing w:after="120"/>
              <w:ind w:left="1236" w:leftChars="0" w:hanging="360" w:firstLineChars="0"/>
              <w:textAlignment w:val="auto"/>
              <w:rPr>
                <w:rFonts w:eastAsia="宋体"/>
              </w:rPr>
            </w:pPr>
            <w:r>
              <w:rPr>
                <w:rFonts w:eastAsia="宋体"/>
              </w:rPr>
              <w:t xml:space="preserve">Option 1-1: For measurement requirement and beam management, no need to consider the FR1 directional antenna impaction. </w:t>
            </w:r>
          </w:p>
          <w:p>
            <w:pPr>
              <w:pStyle w:val="28"/>
              <w:numPr>
                <w:ilvl w:val="1"/>
                <w:numId w:val="4"/>
              </w:numPr>
              <w:overflowPunct/>
              <w:autoSpaceDE/>
              <w:autoSpaceDN/>
              <w:adjustRightInd/>
              <w:spacing w:after="120"/>
              <w:ind w:left="1236" w:leftChars="0" w:hanging="360" w:firstLineChars="0"/>
              <w:textAlignment w:val="auto"/>
              <w:rPr>
                <w:rFonts w:eastAsia="宋体"/>
              </w:rPr>
            </w:pPr>
            <w:r>
              <w:rPr>
                <w:lang w:val="en-US" w:eastAsia="ko-KR"/>
              </w:rPr>
              <w:t>Option 1-2: If beam steering assumption is considered for ATG UE in 4GHz frequency, existing measurement requirements can be reused, provided that beam steering based on the positioning is capable for the ATG UE.</w:t>
            </w:r>
          </w:p>
          <w:p>
            <w:pPr>
              <w:pStyle w:val="28"/>
              <w:numPr>
                <w:ilvl w:val="0"/>
                <w:numId w:val="4"/>
              </w:numPr>
              <w:overflowPunct/>
              <w:autoSpaceDE/>
              <w:autoSpaceDN/>
              <w:adjustRightInd/>
              <w:spacing w:after="120"/>
              <w:ind w:left="1020" w:leftChars="0" w:firstLineChars="0"/>
              <w:textAlignment w:val="auto"/>
              <w:rPr>
                <w:rFonts w:eastAsia="宋体"/>
                <w:lang w:eastAsia="zh-CN"/>
              </w:rPr>
            </w:pPr>
            <w:r>
              <w:rPr>
                <w:rFonts w:hint="eastAsia" w:eastAsia="宋体"/>
                <w:lang w:eastAsia="zh-CN"/>
              </w:rPr>
              <w:t>O</w:t>
            </w:r>
            <w:r>
              <w:rPr>
                <w:rFonts w:eastAsia="宋体"/>
                <w:lang w:eastAsia="zh-CN"/>
              </w:rPr>
              <w:t xml:space="preserve">ption 2: For UEs with directional antennas operating in 4 GHz, use a scaling N for ATG UEs measurement requirements to account for measurement across multiple directional beams. </w:t>
            </w:r>
          </w:p>
          <w:p>
            <w:pPr>
              <w:pStyle w:val="28"/>
              <w:numPr>
                <w:ilvl w:val="1"/>
                <w:numId w:val="4"/>
              </w:numPr>
              <w:overflowPunct/>
              <w:autoSpaceDE/>
              <w:autoSpaceDN/>
              <w:adjustRightInd/>
              <w:spacing w:after="120"/>
              <w:ind w:left="1236" w:leftChars="0" w:hanging="360" w:firstLineChars="0"/>
              <w:textAlignment w:val="auto"/>
              <w:rPr>
                <w:rFonts w:eastAsia="宋体"/>
                <w:lang w:eastAsia="zh-CN"/>
              </w:rPr>
            </w:pPr>
            <w:r>
              <w:rPr>
                <w:rFonts w:hint="eastAsia" w:eastAsia="宋体"/>
                <w:lang w:eastAsia="zh-CN"/>
              </w:rPr>
              <w:t>O</w:t>
            </w:r>
            <w:r>
              <w:rPr>
                <w:rFonts w:eastAsia="宋体"/>
                <w:lang w:eastAsia="zh-CN"/>
              </w:rPr>
              <w:t xml:space="preserve">ption 2-1: Adopt “N” factor equal to 4. </w:t>
            </w:r>
          </w:p>
          <w:p>
            <w:pPr>
              <w:pStyle w:val="28"/>
              <w:numPr>
                <w:ilvl w:val="0"/>
                <w:numId w:val="4"/>
              </w:numPr>
              <w:overflowPunct/>
              <w:autoSpaceDE/>
              <w:autoSpaceDN/>
              <w:adjustRightInd/>
              <w:spacing w:after="120"/>
              <w:ind w:left="1020" w:leftChars="0" w:firstLineChars="0"/>
              <w:textAlignment w:val="auto"/>
              <w:rPr>
                <w:rFonts w:eastAsia="宋体"/>
                <w:lang w:eastAsia="zh-CN"/>
              </w:rPr>
            </w:pPr>
            <w:r>
              <w:rPr>
                <w:rFonts w:hint="eastAsia" w:eastAsia="宋体"/>
                <w:lang w:eastAsia="zh-CN"/>
              </w:rPr>
              <w:t>O</w:t>
            </w:r>
            <w:r>
              <w:rPr>
                <w:rFonts w:eastAsia="宋体"/>
                <w:lang w:eastAsia="zh-CN"/>
              </w:rPr>
              <w:t xml:space="preserve">ption 3: RAN4 to discuss whether and what </w:t>
            </w:r>
            <w:r>
              <w:rPr>
                <w:rFonts w:eastAsia="宋体"/>
                <w:b/>
                <w:bCs/>
                <w:lang w:eastAsia="zh-CN"/>
              </w:rPr>
              <w:t>Rx beam sweeping factor</w:t>
            </w:r>
            <w:r>
              <w:rPr>
                <w:rFonts w:eastAsia="宋体"/>
                <w:lang w:eastAsia="zh-CN"/>
              </w:rPr>
              <w:t xml:space="preserve"> applies to measurement period requirements </w:t>
            </w:r>
          </w:p>
          <w:p>
            <w:pPr>
              <w:pStyle w:val="28"/>
              <w:numPr>
                <w:ilvl w:val="0"/>
                <w:numId w:val="4"/>
              </w:numPr>
              <w:overflowPunct/>
              <w:autoSpaceDE/>
              <w:autoSpaceDN/>
              <w:adjustRightInd/>
              <w:spacing w:after="120"/>
              <w:ind w:left="1020" w:leftChars="0" w:firstLineChars="0"/>
              <w:textAlignment w:val="auto"/>
              <w:rPr>
                <w:rFonts w:eastAsia="宋体"/>
                <w:bCs/>
                <w:lang w:eastAsia="zh-CN"/>
              </w:rPr>
            </w:pPr>
            <w:r>
              <w:rPr>
                <w:rFonts w:eastAsiaTheme="minorEastAsia"/>
                <w:bCs/>
                <w:lang w:eastAsia="zh-CN"/>
              </w:rPr>
              <w:t xml:space="preserve">Option 4: </w:t>
            </w:r>
            <w:r>
              <w:rPr>
                <w:rFonts w:hint="eastAsia" w:eastAsiaTheme="minorEastAsia"/>
                <w:bCs/>
                <w:lang w:eastAsia="zh-CN"/>
              </w:rPr>
              <w:t>w</w:t>
            </w:r>
            <w:r>
              <w:rPr>
                <w:rFonts w:eastAsiaTheme="minorEastAsia"/>
                <w:bCs/>
                <w:lang w:eastAsia="zh-CN"/>
              </w:rPr>
              <w:t>hether</w:t>
            </w:r>
            <w:r>
              <w:rPr>
                <w:rFonts w:eastAsiaTheme="minorEastAsia"/>
                <w:b/>
                <w:lang w:eastAsia="zh-CN"/>
              </w:rPr>
              <w:t xml:space="preserve"> scheduling restriction</w:t>
            </w:r>
            <w:r>
              <w:rPr>
                <w:rFonts w:eastAsiaTheme="minorEastAsia"/>
                <w:bCs/>
                <w:lang w:eastAsia="zh-CN"/>
              </w:rPr>
              <w:t xml:space="preserve"> due to different Rx beam applies in FR1</w:t>
            </w:r>
          </w:p>
          <w:p>
            <w:pPr>
              <w:pStyle w:val="28"/>
              <w:numPr>
                <w:ilvl w:val="1"/>
                <w:numId w:val="4"/>
              </w:numPr>
              <w:overflowPunct/>
              <w:autoSpaceDE/>
              <w:autoSpaceDN/>
              <w:adjustRightInd/>
              <w:spacing w:after="120"/>
              <w:ind w:left="1236" w:leftChars="0" w:hanging="360" w:firstLineChars="0"/>
              <w:textAlignment w:val="auto"/>
              <w:rPr>
                <w:rFonts w:hint="default" w:eastAsia="宋体"/>
                <w:color w:val="auto"/>
                <w:sz w:val="20"/>
                <w:szCs w:val="20"/>
                <w:highlight w:val="none"/>
                <w:vertAlign w:val="baseline"/>
                <w:lang w:val="en-US" w:eastAsia="zh-CN"/>
              </w:rPr>
            </w:pPr>
            <w:r>
              <w:rPr>
                <w:rFonts w:eastAsiaTheme="minorEastAsia"/>
                <w:lang w:eastAsia="zh-CN"/>
              </w:rPr>
              <w:t>During measurement, UE may use a different Rx beam than the one used for receiving data from serving cell, which may cause scheduling restriction as in FR2.</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To summarize the above options, besides the view of reusing legacy measurement requirement, three additional solutions were proposed:</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Option 1-2: Perform beam steering based on positioning for ATG UE</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  Option 2: Perform Rx beam sweeping similar as that in FR2 for the RRM measurement of ATG UE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  Option 3: Perform scheduling restriction similar as that in FR2 for the RRM measurement of ATG UE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Option 1-2 and 3 make sense to us. For ATG UE, it is assumed GNSS capable, furthermore, BS location is achievable at UE side, the air line is pre-determined, UE can know the current serving BS and neighbour BS location through the broadcast info and the history info. So it is feasible for Option 1-2. For Option 3, for the large ISD deployment, considering UE would apply different Rx beam for the serving cell data reception and the neighbour cell measurement in 4G Hz, so it is reasonable to introduce scheduling restriction similar as that in FR2.</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Support the beam steering based on positioning for ATG UE.</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Support to introduce the scheduling restriction similar as that in FR2 for 4 GHz in FR1.</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Regarding Option 2, the views of companies in last meeting are diverse. Under such pre-determined route scenario, we believe it is not necessary to expand N. The beam steering mentioned in Option 1-2 is advanced enough to further optimize the Rx beam tracking, and this optimization is suitable for ATG scenario. By applying such relative precise Rx beam tracking, no need to blindly expand N, which would enlarge the measurement period, it is harmful to such high speed flight scenario. It should be mentioned that during previous meeting, we evaluate almost all RRM requirements, when we evaluate whether the measurement period needs to be enhanced, we decide the final conclusion based on the assumption of existing N = 1. So it is better to keep the assumption of N = 1 unchanged.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Furthermore, for the UE measurement of cell re-selection, keep the same N = 1 assumption is also reasonable. Since once UE reads the </w:t>
      </w:r>
      <w:r>
        <w:rPr>
          <w:rFonts w:eastAsia="宋体" w:cs="Times New Roman"/>
          <w:b w:val="0"/>
          <w:bCs w:val="0"/>
          <w:sz w:val="20"/>
          <w:szCs w:val="20"/>
        </w:rPr>
        <w:t>PositionVelocity-r17</w:t>
      </w:r>
      <w:r>
        <w:rPr>
          <w:rFonts w:hint="eastAsia" w:eastAsia="宋体"/>
          <w:color w:val="auto"/>
          <w:sz w:val="20"/>
          <w:szCs w:val="20"/>
          <w:highlight w:val="none"/>
          <w:lang w:val="en-US" w:eastAsia="zh-CN"/>
        </w:rPr>
        <w:t xml:space="preserve"> of serving cell/neighbour cell broadcased by SIB 19, UE can determine the suitable Rx beam during the measurement for serving cell/neighbour cell. We copy the exact signalling in [3] as below, including the </w:t>
      </w:r>
      <w:r>
        <w:rPr>
          <w:rFonts w:hint="eastAsia" w:eastAsia="宋体"/>
          <w:color w:val="auto"/>
          <w:sz w:val="20"/>
          <w:szCs w:val="20"/>
          <w:highlight w:val="yellow"/>
          <w:lang w:val="en-US" w:eastAsia="zh-CN"/>
        </w:rPr>
        <w:t>serving cell</w:t>
      </w:r>
      <w:r>
        <w:rPr>
          <w:rFonts w:hint="eastAsia" w:eastAsia="宋体"/>
          <w:color w:val="auto"/>
          <w:sz w:val="20"/>
          <w:szCs w:val="20"/>
          <w:highlight w:val="none"/>
          <w:lang w:val="en-US" w:eastAsia="zh-CN"/>
        </w:rPr>
        <w:t xml:space="preserve"> and </w:t>
      </w:r>
      <w:r>
        <w:rPr>
          <w:rFonts w:hint="eastAsia" w:eastAsia="宋体"/>
          <w:color w:val="auto"/>
          <w:sz w:val="20"/>
          <w:szCs w:val="20"/>
          <w:highlight w:val="cyan"/>
          <w:lang w:val="en-US" w:eastAsia="zh-CN"/>
        </w:rPr>
        <w:t>neighbour cell</w:t>
      </w:r>
      <w:r>
        <w:rPr>
          <w:rFonts w:hint="eastAsia" w:eastAsia="宋体"/>
          <w:color w:val="auto"/>
          <w:sz w:val="20"/>
          <w:szCs w:val="20"/>
          <w:highlight w:val="none"/>
          <w:lang w:val="en-US" w:eastAsia="zh-CN"/>
        </w:rPr>
        <w:t xml:space="preserve"> location indication.</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highlight w:val="none"/>
        </w:rPr>
        <w:t>SIB19-r17</w:t>
      </w:r>
      <w:r>
        <w:rPr>
          <w:sz w:val="11"/>
          <w:szCs w:val="11"/>
        </w:rPr>
        <w:t xml:space="preserve"> ::= </w:t>
      </w:r>
      <w:r>
        <w:rPr>
          <w:color w:val="993366"/>
          <w:sz w:val="11"/>
          <w:szCs w:val="11"/>
        </w:rPr>
        <w:t>SEQUENCE</w:t>
      </w: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w:t>
      </w:r>
      <w:r>
        <w:rPr>
          <w:sz w:val="11"/>
          <w:szCs w:val="11"/>
          <w:highlight w:val="yellow"/>
        </w:rPr>
        <w:t xml:space="preserve"> ntn-Config-r17</w:t>
      </w:r>
      <w:r>
        <w:rPr>
          <w:sz w:val="11"/>
          <w:szCs w:val="11"/>
        </w:rPr>
        <w:t xml:space="preserve">                           NTN-Config-r17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t-Service-r17                            </w:t>
      </w:r>
      <w:r>
        <w:rPr>
          <w:color w:val="993366"/>
          <w:sz w:val="11"/>
          <w:szCs w:val="11"/>
        </w:rPr>
        <w:t>INTEGER</w:t>
      </w:r>
      <w:r>
        <w:rPr>
          <w:sz w:val="11"/>
          <w:szCs w:val="11"/>
        </w:rPr>
        <w:t xml:space="preserve"> (0..549755813887)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w:t>
      </w:r>
      <w:r>
        <w:rPr>
          <w:sz w:val="11"/>
          <w:szCs w:val="11"/>
          <w:highlight w:val="none"/>
        </w:rPr>
        <w:t xml:space="preserve"> referenceLocation-r17 </w:t>
      </w:r>
      <w:r>
        <w:rPr>
          <w:sz w:val="11"/>
          <w:szCs w:val="11"/>
        </w:rPr>
        <w:t xml:space="preserve">                   ReferenceLocation-r17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distanceThresh-r17                       </w:t>
      </w:r>
      <w:r>
        <w:rPr>
          <w:color w:val="993366"/>
          <w:sz w:val="11"/>
          <w:szCs w:val="11"/>
        </w:rPr>
        <w:t>INTEGER</w:t>
      </w:r>
      <w:r>
        <w:rPr>
          <w:sz w:val="11"/>
          <w:szCs w:val="11"/>
        </w:rPr>
        <w:t xml:space="preserve">(0..65525)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w:t>
      </w:r>
      <w:r>
        <w:rPr>
          <w:sz w:val="11"/>
          <w:szCs w:val="11"/>
          <w:highlight w:val="cyan"/>
        </w:rPr>
        <w:t xml:space="preserve"> ntn-NeighCellConfigList-r17</w:t>
      </w:r>
      <w:r>
        <w:rPr>
          <w:sz w:val="11"/>
          <w:szCs w:val="11"/>
        </w:rPr>
        <w:t xml:space="preserve">              NTN-NeighCellConfigList-r17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lateNonCriticalExtension                 </w:t>
      </w:r>
      <w:r>
        <w:rPr>
          <w:color w:val="993366"/>
          <w:sz w:val="11"/>
          <w:szCs w:val="11"/>
        </w:rPr>
        <w:t>OCTET</w:t>
      </w:r>
      <w:r>
        <w:rPr>
          <w:sz w:val="11"/>
          <w:szCs w:val="11"/>
        </w:rPr>
        <w:t xml:space="preserve"> </w:t>
      </w:r>
      <w:r>
        <w:rPr>
          <w:color w:val="993366"/>
          <w:sz w:val="11"/>
          <w:szCs w:val="11"/>
        </w:rPr>
        <w:t>STRING</w:t>
      </w:r>
      <w:r>
        <w:rPr>
          <w:sz w:val="11"/>
          <w:szCs w:val="11"/>
        </w:rPr>
        <w:t xml:space="preserve">                                    </w:t>
      </w:r>
      <w:r>
        <w:rPr>
          <w:color w:val="993366"/>
          <w:sz w:val="11"/>
          <w:szCs w:val="11"/>
        </w:rPr>
        <w:t>OPTIONAL</w:t>
      </w:r>
      <w:r>
        <w:rPr>
          <w:sz w:val="11"/>
          <w:szCs w:val="11"/>
        </w:rPr>
        <w:t>,</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ntn-NeighCellConfigListExt-v1720         NTN-NeighCellConfigList-r17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highlight w:val="cyan"/>
        </w:rPr>
        <w:t>NTN-NeighCellConfigList-r17</w:t>
      </w:r>
      <w:r>
        <w:rPr>
          <w:sz w:val="11"/>
          <w:szCs w:val="11"/>
        </w:rPr>
        <w:t xml:space="preserve"> ::=          </w:t>
      </w:r>
      <w:r>
        <w:rPr>
          <w:color w:val="993366"/>
          <w:sz w:val="11"/>
          <w:szCs w:val="11"/>
        </w:rPr>
        <w:t>SEQUENCE</w:t>
      </w:r>
      <w:r>
        <w:rPr>
          <w:sz w:val="11"/>
          <w:szCs w:val="11"/>
        </w:rPr>
        <w:t xml:space="preserve"> (</w:t>
      </w:r>
      <w:r>
        <w:rPr>
          <w:color w:val="993366"/>
          <w:sz w:val="11"/>
          <w:szCs w:val="11"/>
        </w:rPr>
        <w:t>SIZE</w:t>
      </w:r>
      <w:r>
        <w:rPr>
          <w:sz w:val="11"/>
          <w:szCs w:val="11"/>
        </w:rPr>
        <w:t xml:space="preserve">(1..maxCellNTN-r17)) </w:t>
      </w:r>
      <w:r>
        <w:rPr>
          <w:color w:val="993366"/>
          <w:sz w:val="11"/>
          <w:szCs w:val="11"/>
        </w:rPr>
        <w:t xml:space="preserve"> OF</w:t>
      </w:r>
      <w:r>
        <w:rPr>
          <w:sz w:val="11"/>
          <w:szCs w:val="11"/>
        </w:rPr>
        <w:t xml:space="preserve"> NTN-NeighCellConfig-r17</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highlight w:val="cyan"/>
        </w:rPr>
        <w:t>NTN-NeighCellConfig-r17</w:t>
      </w:r>
      <w:r>
        <w:rPr>
          <w:sz w:val="11"/>
          <w:szCs w:val="11"/>
        </w:rPr>
        <w:t xml:space="preserve"> ::=              </w:t>
      </w:r>
      <w:r>
        <w:rPr>
          <w:color w:val="993366"/>
          <w:sz w:val="11"/>
          <w:szCs w:val="11"/>
        </w:rPr>
        <w:t>SEQUENCE</w:t>
      </w: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w:t>
      </w:r>
      <w:r>
        <w:rPr>
          <w:sz w:val="11"/>
          <w:szCs w:val="11"/>
          <w:highlight w:val="cyan"/>
        </w:rPr>
        <w:t>ntn-Con</w:t>
      </w:r>
      <w:r>
        <w:rPr>
          <w:sz w:val="11"/>
          <w:szCs w:val="11"/>
          <w:highlight w:val="yellow"/>
        </w:rPr>
        <w:t xml:space="preserve">fig-r17 </w:t>
      </w:r>
      <w:r>
        <w:rPr>
          <w:sz w:val="11"/>
          <w:szCs w:val="11"/>
        </w:rPr>
        <w:t xml:space="preserve">                          NTN-Config-r17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carrierFreq-r17                          ARFCN-ValueNR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physCellId-r17                           PhysCellId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highlight w:val="cyan"/>
        </w:rPr>
      </w:pP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highlight w:val="yellow"/>
        </w:rPr>
        <w:t>NTN-Config-r17</w:t>
      </w:r>
      <w:r>
        <w:rPr>
          <w:sz w:val="11"/>
          <w:szCs w:val="11"/>
        </w:rPr>
        <w:t xml:space="preserve"> ::=             </w:t>
      </w:r>
      <w:r>
        <w:rPr>
          <w:color w:val="993366"/>
          <w:sz w:val="11"/>
          <w:szCs w:val="11"/>
        </w:rPr>
        <w:t>SEQUENCE</w:t>
      </w: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epochTime-r17                  EpochTime-r17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ntn-UlSyncValidityDuration-r17 </w:t>
      </w:r>
      <w:r>
        <w:rPr>
          <w:color w:val="993366"/>
          <w:sz w:val="11"/>
          <w:szCs w:val="11"/>
        </w:rPr>
        <w:t>ENUMERATED</w:t>
      </w:r>
      <w:r>
        <w:rPr>
          <w:sz w:val="11"/>
          <w:szCs w:val="11"/>
        </w:rPr>
        <w:t>{ s5, s10, s15, s20, s25, s30, s35,</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s40, s45, s50, s55, s60, s120, s180, s240, s900}              </w:t>
      </w:r>
      <w:r>
        <w:rPr>
          <w:color w:val="993366"/>
          <w:sz w:val="11"/>
          <w:szCs w:val="11"/>
        </w:rPr>
        <w:t>OPTIONAL</w:t>
      </w:r>
      <w:r>
        <w:rPr>
          <w:sz w:val="11"/>
          <w:szCs w:val="11"/>
        </w:rPr>
        <w:t xml:space="preserve">,  </w:t>
      </w:r>
      <w:r>
        <w:rPr>
          <w:color w:val="808080"/>
          <w:sz w:val="11"/>
          <w:szCs w:val="11"/>
        </w:rPr>
        <w:t>-- Cond SIB19</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cellSpecificKoffset-r17        </w:t>
      </w:r>
      <w:r>
        <w:rPr>
          <w:color w:val="993366"/>
          <w:sz w:val="11"/>
          <w:szCs w:val="11"/>
        </w:rPr>
        <w:t>INTEGER</w:t>
      </w:r>
      <w:r>
        <w:rPr>
          <w:sz w:val="11"/>
          <w:szCs w:val="11"/>
        </w:rPr>
        <w:t xml:space="preserve">(1..1023)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kmac-r17                       </w:t>
      </w:r>
      <w:r>
        <w:rPr>
          <w:color w:val="993366"/>
          <w:sz w:val="11"/>
          <w:szCs w:val="11"/>
        </w:rPr>
        <w:t>INTEGER</w:t>
      </w:r>
      <w:r>
        <w:rPr>
          <w:sz w:val="11"/>
          <w:szCs w:val="11"/>
        </w:rPr>
        <w:t xml:space="preserve">(1..512)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ta-Info-r17                    TA-Info-r17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ntn-PolarizationDL-r17         </w:t>
      </w:r>
      <w:r>
        <w:rPr>
          <w:color w:val="993366"/>
          <w:sz w:val="11"/>
          <w:szCs w:val="11"/>
        </w:rPr>
        <w:t>ENUMERATED</w:t>
      </w:r>
      <w:r>
        <w:rPr>
          <w:sz w:val="11"/>
          <w:szCs w:val="11"/>
        </w:rPr>
        <w:t xml:space="preserve"> {rhcp,lhcp,linear}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ntn-PolarizationUL-r17         </w:t>
      </w:r>
      <w:r>
        <w:rPr>
          <w:color w:val="993366"/>
          <w:sz w:val="11"/>
          <w:szCs w:val="11"/>
        </w:rPr>
        <w:t>ENUMERATED</w:t>
      </w:r>
      <w:r>
        <w:rPr>
          <w:sz w:val="11"/>
          <w:szCs w:val="11"/>
        </w:rPr>
        <w:t xml:space="preserve"> {rhcp,lhcp,linear}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w:t>
      </w:r>
      <w:r>
        <w:rPr>
          <w:sz w:val="11"/>
          <w:szCs w:val="11"/>
          <w:highlight w:val="green"/>
        </w:rPr>
        <w:t>ephemerisInfo-r17</w:t>
      </w:r>
      <w:r>
        <w:rPr>
          <w:sz w:val="11"/>
          <w:szCs w:val="11"/>
        </w:rPr>
        <w:t xml:space="preserve">              EphemerisInfo-r17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color w:val="808080"/>
          <w:sz w:val="11"/>
          <w:szCs w:val="11"/>
        </w:rPr>
      </w:pPr>
      <w:r>
        <w:rPr>
          <w:sz w:val="11"/>
          <w:szCs w:val="11"/>
        </w:rPr>
        <w:t xml:space="preserve">    ta-Report-r17                  </w:t>
      </w:r>
      <w:r>
        <w:rPr>
          <w:color w:val="993366"/>
          <w:sz w:val="11"/>
          <w:szCs w:val="11"/>
        </w:rPr>
        <w:t>ENUMERATED</w:t>
      </w:r>
      <w:r>
        <w:rPr>
          <w:sz w:val="11"/>
          <w:szCs w:val="11"/>
        </w:rPr>
        <w:t xml:space="preserve"> {enabled}                                                     </w:t>
      </w:r>
      <w:r>
        <w:rPr>
          <w:color w:val="993366"/>
          <w:sz w:val="11"/>
          <w:szCs w:val="11"/>
        </w:rPr>
        <w:t>OPTIONAL</w:t>
      </w:r>
      <w:r>
        <w:rPr>
          <w:sz w:val="11"/>
          <w:szCs w:val="11"/>
        </w:rPr>
        <w:t xml:space="preserve">,  </w:t>
      </w:r>
      <w:r>
        <w:rPr>
          <w:color w:val="808080"/>
          <w:sz w:val="11"/>
          <w:szCs w:val="11"/>
        </w:rPr>
        <w:t>-- Need R</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w:t>
      </w:r>
    </w:p>
    <w:p>
      <w:pPr>
        <w:widowControl w:val="0"/>
        <w:numPr>
          <w:ilvl w:val="0"/>
          <w:numId w:val="0"/>
        </w:numPr>
        <w:bidi w:val="0"/>
        <w:jc w:val="both"/>
        <w:rPr>
          <w:rFonts w:hint="eastAsia"/>
          <w:sz w:val="21"/>
          <w:szCs w:val="21"/>
          <w:lang w:val="en-US" w:eastAsia="zh-CN"/>
        </w:rPr>
      </w:pPr>
      <w:r>
        <w:rPr>
          <w:sz w:val="11"/>
          <w:szCs w:val="11"/>
        </w:rPr>
        <w:t>}</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EphemerisInfo-r17 ::=          </w:t>
      </w:r>
      <w:r>
        <w:rPr>
          <w:color w:val="993366"/>
          <w:sz w:val="11"/>
          <w:szCs w:val="11"/>
        </w:rPr>
        <w:t>CHOICE</w:t>
      </w:r>
      <w:r>
        <w:rPr>
          <w:sz w:val="11"/>
          <w:szCs w:val="11"/>
        </w:rPr>
        <w:t xml:space="preserve"> {</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w:t>
      </w:r>
      <w:r>
        <w:rPr>
          <w:sz w:val="11"/>
          <w:szCs w:val="11"/>
          <w:highlight w:val="green"/>
        </w:rPr>
        <w:t>positionVelocity-r17</w:t>
      </w:r>
      <w:r>
        <w:rPr>
          <w:sz w:val="11"/>
          <w:szCs w:val="11"/>
        </w:rPr>
        <w:t xml:space="preserve">           PositionVelocity-r17,</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 xml:space="preserve">    orbital-r17                    Orbital-r17</w:t>
      </w:r>
    </w:p>
    <w:p>
      <w:pPr>
        <w:pStyle w:val="57"/>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 w:val="11"/>
          <w:szCs w:val="11"/>
        </w:rPr>
      </w:pPr>
      <w:r>
        <w:rPr>
          <w:sz w:val="11"/>
          <w:szCs w:val="11"/>
        </w:rPr>
        <w:t>}</w:t>
      </w:r>
    </w:p>
    <w:p>
      <w:pPr>
        <w:pStyle w:val="4"/>
        <w:rPr>
          <w:rFonts w:hint="eastAsia" w:eastAsia="宋体"/>
          <w:color w:val="auto"/>
          <w:sz w:val="20"/>
          <w:szCs w:val="20"/>
          <w:highlight w:val="none"/>
          <w:lang w:val="en-US" w:eastAsia="zh-CN"/>
        </w:rPr>
      </w:pP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 a result, even under the assumption of the directional antenna of ATG CPE at 4 GHz, based on the BS location broadcasted in SIB 19, UE can perform beam steering for both serving cel and neighbour cell, so no need to expend the beam sweeping factor from N = 1 to N &gt;1 which is harmful to the measurement delay.</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Even under the assumption of the directional antenna of ATG CPE at 4 GHz, by performing beam steering based on the BS location broadcasting, no need to expend the beam sweeping factor from N = 1 to N &gt;1.</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Support the beam steering based on positioning for ATG UE.</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Support to introduce the scheduling restriction similar as that in FR2 for 4 GHz in FR1.</w:t>
      </w:r>
    </w:p>
    <w:p>
      <w:pPr>
        <w:pStyle w:val="4"/>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3: Even under the assumption of the directional antenna of ATG CPE at 4 GHz, by performing beam steering based on the BS location broadcasting, no need to expend the beam sweeping factor from N = 1 to N &gt;1.</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0" w:leftChars="0" w:firstLine="0" w:firstLineChars="0"/>
        <w:rPr>
          <w:rFonts w:hint="default"/>
          <w:color w:val="auto"/>
          <w:lang w:val="en-US" w:eastAsia="zh-CN"/>
        </w:rPr>
      </w:pPr>
      <w:r>
        <w:rPr>
          <w:rFonts w:hint="eastAsia"/>
          <w:color w:val="auto"/>
          <w:lang w:val="en-US" w:eastAsia="zh-CN"/>
        </w:rPr>
        <w:t xml:space="preserve">R4-2310159 </w:t>
      </w:r>
      <w:r>
        <w:rPr>
          <w:rFonts w:hint="default"/>
          <w:color w:val="auto"/>
          <w:lang w:val="en-US" w:eastAsia="zh-CN"/>
        </w:rPr>
        <w:t>“WF on NR ATG RRM requirements”</w:t>
      </w:r>
      <w:r>
        <w:rPr>
          <w:rFonts w:hint="eastAsia"/>
          <w:color w:val="auto"/>
          <w:lang w:val="en-US" w:eastAsia="zh-CN"/>
        </w:rPr>
        <w:t>, CMCC</w:t>
      </w:r>
    </w:p>
    <w:p>
      <w:pPr>
        <w:pStyle w:val="9"/>
        <w:numPr>
          <w:ilvl w:val="0"/>
          <w:numId w:val="5"/>
        </w:numPr>
        <w:ind w:left="0" w:leftChars="0" w:firstLine="0" w:firstLineChars="0"/>
        <w:rPr>
          <w:rFonts w:hint="default" w:eastAsia="宋体"/>
          <w:color w:val="auto"/>
          <w:highlight w:val="none"/>
          <w:lang w:val="en-US" w:eastAsia="zh-CN"/>
        </w:rPr>
      </w:pPr>
      <w:r>
        <w:rPr>
          <w:rFonts w:hint="eastAsia"/>
          <w:color w:val="auto"/>
          <w:lang w:val="en-US" w:eastAsia="zh-CN"/>
        </w:rPr>
        <w:t xml:space="preserve">R4-2309962 </w:t>
      </w:r>
      <w:r>
        <w:rPr>
          <w:rFonts w:hint="default"/>
          <w:color w:val="auto"/>
          <w:lang w:val="en-US" w:eastAsia="zh-CN"/>
        </w:rPr>
        <w:t>“Topic summary for [10</w:t>
      </w:r>
      <w:r>
        <w:rPr>
          <w:rFonts w:hint="eastAsia"/>
          <w:color w:val="auto"/>
          <w:lang w:val="en-US" w:eastAsia="zh-CN"/>
        </w:rPr>
        <w:t>7</w:t>
      </w:r>
      <w:r>
        <w:rPr>
          <w:rFonts w:hint="default"/>
          <w:color w:val="auto"/>
          <w:lang w:val="en-US" w:eastAsia="zh-CN"/>
        </w:rPr>
        <w:t>][21</w:t>
      </w:r>
      <w:r>
        <w:rPr>
          <w:rFonts w:hint="eastAsia"/>
          <w:color w:val="auto"/>
          <w:lang w:val="en-US" w:eastAsia="zh-CN"/>
        </w:rPr>
        <w:t>7</w:t>
      </w:r>
      <w:r>
        <w:rPr>
          <w:rFonts w:hint="default"/>
          <w:color w:val="auto"/>
          <w:lang w:val="en-US" w:eastAsia="zh-CN"/>
        </w:rPr>
        <w:t>] NR_ATG”</w:t>
      </w:r>
      <w:r>
        <w:rPr>
          <w:rFonts w:hint="eastAsia"/>
          <w:color w:val="auto"/>
          <w:lang w:val="en-US" w:eastAsia="zh-CN"/>
        </w:rPr>
        <w:t>, CMCC</w:t>
      </w:r>
    </w:p>
    <w:p>
      <w:pPr>
        <w:pStyle w:val="9"/>
        <w:numPr>
          <w:ilvl w:val="0"/>
          <w:numId w:val="5"/>
        </w:numPr>
        <w:ind w:left="0" w:leftChars="0" w:firstLine="0" w:firstLineChars="0"/>
        <w:rPr>
          <w:rFonts w:hint="default" w:eastAsia="宋体"/>
          <w:color w:val="auto"/>
          <w:highlight w:val="none"/>
          <w:lang w:val="en-US" w:eastAsia="zh-CN"/>
        </w:rPr>
      </w:pPr>
      <w:r>
        <w:rPr>
          <w:rFonts w:hint="eastAsia"/>
          <w:color w:val="auto"/>
          <w:lang w:val="en-US" w:eastAsia="zh-CN"/>
        </w:rPr>
        <w:t>TS 38.331-h50.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DEE745F"/>
    <w:rsid w:val="0DFD7458"/>
    <w:rsid w:val="0E104B55"/>
    <w:rsid w:val="0FAD3D1E"/>
    <w:rsid w:val="102263EF"/>
    <w:rsid w:val="10997F43"/>
    <w:rsid w:val="10DE7BAE"/>
    <w:rsid w:val="120774A3"/>
    <w:rsid w:val="12577549"/>
    <w:rsid w:val="12887761"/>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203504C5"/>
    <w:rsid w:val="2067621D"/>
    <w:rsid w:val="208364FC"/>
    <w:rsid w:val="208953F9"/>
    <w:rsid w:val="21014C39"/>
    <w:rsid w:val="21244EB1"/>
    <w:rsid w:val="213964D8"/>
    <w:rsid w:val="21595D04"/>
    <w:rsid w:val="21F13629"/>
    <w:rsid w:val="223236B6"/>
    <w:rsid w:val="2255462C"/>
    <w:rsid w:val="22CD49DC"/>
    <w:rsid w:val="22E5139E"/>
    <w:rsid w:val="2305377E"/>
    <w:rsid w:val="237674B3"/>
    <w:rsid w:val="238230CD"/>
    <w:rsid w:val="23901822"/>
    <w:rsid w:val="24122135"/>
    <w:rsid w:val="24D4257E"/>
    <w:rsid w:val="2572202B"/>
    <w:rsid w:val="2605683C"/>
    <w:rsid w:val="26BB1419"/>
    <w:rsid w:val="27A2088A"/>
    <w:rsid w:val="27B748AA"/>
    <w:rsid w:val="27CB4CB9"/>
    <w:rsid w:val="281C2F58"/>
    <w:rsid w:val="28DF773E"/>
    <w:rsid w:val="29642C4B"/>
    <w:rsid w:val="29C21DCA"/>
    <w:rsid w:val="2A34628C"/>
    <w:rsid w:val="2A724D05"/>
    <w:rsid w:val="2A7E505C"/>
    <w:rsid w:val="2AC85686"/>
    <w:rsid w:val="2AD04B5F"/>
    <w:rsid w:val="2BC05B2C"/>
    <w:rsid w:val="2BD617C5"/>
    <w:rsid w:val="2C112837"/>
    <w:rsid w:val="2C9B1252"/>
    <w:rsid w:val="2C9C2786"/>
    <w:rsid w:val="2CC13667"/>
    <w:rsid w:val="2E014790"/>
    <w:rsid w:val="2E3F30C4"/>
    <w:rsid w:val="2EE77680"/>
    <w:rsid w:val="2F2F0FC8"/>
    <w:rsid w:val="2FA70460"/>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3DF2306A"/>
    <w:rsid w:val="3FEC6FC4"/>
    <w:rsid w:val="405F175E"/>
    <w:rsid w:val="40C765F3"/>
    <w:rsid w:val="42AF3D95"/>
    <w:rsid w:val="42C9357F"/>
    <w:rsid w:val="42F869D2"/>
    <w:rsid w:val="43186073"/>
    <w:rsid w:val="43553536"/>
    <w:rsid w:val="44972678"/>
    <w:rsid w:val="451632B9"/>
    <w:rsid w:val="45906394"/>
    <w:rsid w:val="45C245CB"/>
    <w:rsid w:val="45F60A50"/>
    <w:rsid w:val="46142D0C"/>
    <w:rsid w:val="46263A53"/>
    <w:rsid w:val="46970A81"/>
    <w:rsid w:val="46B036BF"/>
    <w:rsid w:val="46CC320F"/>
    <w:rsid w:val="47282363"/>
    <w:rsid w:val="47810C98"/>
    <w:rsid w:val="47924F0A"/>
    <w:rsid w:val="48EE54ED"/>
    <w:rsid w:val="48F407FD"/>
    <w:rsid w:val="49DC4EAC"/>
    <w:rsid w:val="49E55BC5"/>
    <w:rsid w:val="4A5D0BB5"/>
    <w:rsid w:val="4A784B9A"/>
    <w:rsid w:val="4ADC0DE1"/>
    <w:rsid w:val="4B600E77"/>
    <w:rsid w:val="4B8B4475"/>
    <w:rsid w:val="4B8F684D"/>
    <w:rsid w:val="4BF02011"/>
    <w:rsid w:val="4C1C63D6"/>
    <w:rsid w:val="4C2D52ED"/>
    <w:rsid w:val="4C4F7C59"/>
    <w:rsid w:val="4C864A35"/>
    <w:rsid w:val="4D207A05"/>
    <w:rsid w:val="4D53283E"/>
    <w:rsid w:val="4D6F4DFF"/>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0C7CD1"/>
    <w:rsid w:val="5C924E81"/>
    <w:rsid w:val="5E2864D0"/>
    <w:rsid w:val="5E494511"/>
    <w:rsid w:val="5EB44FC0"/>
    <w:rsid w:val="5FBA395F"/>
    <w:rsid w:val="60094E5C"/>
    <w:rsid w:val="606F38F4"/>
    <w:rsid w:val="60EC2CBA"/>
    <w:rsid w:val="61CC2D28"/>
    <w:rsid w:val="623E10C1"/>
    <w:rsid w:val="635902CD"/>
    <w:rsid w:val="63C03536"/>
    <w:rsid w:val="64706BBE"/>
    <w:rsid w:val="64F2095B"/>
    <w:rsid w:val="65A16A49"/>
    <w:rsid w:val="67A858DB"/>
    <w:rsid w:val="67FE4166"/>
    <w:rsid w:val="68C401C3"/>
    <w:rsid w:val="695848C3"/>
    <w:rsid w:val="69A833BD"/>
    <w:rsid w:val="69AF6305"/>
    <w:rsid w:val="69EF6835"/>
    <w:rsid w:val="6D566F0F"/>
    <w:rsid w:val="6D836F72"/>
    <w:rsid w:val="6D8D1B93"/>
    <w:rsid w:val="6DDE3DAF"/>
    <w:rsid w:val="6DE76B3B"/>
    <w:rsid w:val="6E3241BE"/>
    <w:rsid w:val="6EB97A9D"/>
    <w:rsid w:val="6EF10A90"/>
    <w:rsid w:val="6EFC7DED"/>
    <w:rsid w:val="6F2309BE"/>
    <w:rsid w:val="6F2A7FBF"/>
    <w:rsid w:val="6FAE5A48"/>
    <w:rsid w:val="6FFF1868"/>
    <w:rsid w:val="707E77A2"/>
    <w:rsid w:val="715F4C2D"/>
    <w:rsid w:val="71DD657B"/>
    <w:rsid w:val="722F78FB"/>
    <w:rsid w:val="723C2F8E"/>
    <w:rsid w:val="723D67C5"/>
    <w:rsid w:val="726A5F44"/>
    <w:rsid w:val="72BF60CA"/>
    <w:rsid w:val="72F41282"/>
    <w:rsid w:val="73020973"/>
    <w:rsid w:val="733D0D32"/>
    <w:rsid w:val="73B76769"/>
    <w:rsid w:val="73D411F1"/>
    <w:rsid w:val="744C446A"/>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F5236"/>
    <w:rsid w:val="7A9367CB"/>
    <w:rsid w:val="7AEF5C78"/>
    <w:rsid w:val="7AF22571"/>
    <w:rsid w:val="7B0720CF"/>
    <w:rsid w:val="7B4C0E47"/>
    <w:rsid w:val="7B69224B"/>
    <w:rsid w:val="7BE80F25"/>
    <w:rsid w:val="7C1C35A7"/>
    <w:rsid w:val="7C45431D"/>
    <w:rsid w:val="7D1566A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2023-08-11T13:10:22Z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